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60B" w:rsidRPr="00FE5C77" w:rsidRDefault="0059060B" w:rsidP="0059060B">
      <w:pPr>
        <w:pStyle w:val="Paragrafoelenco"/>
        <w:tabs>
          <w:tab w:val="left" w:pos="284"/>
        </w:tabs>
        <w:spacing w:after="0" w:line="276" w:lineRule="auto"/>
        <w:ind w:left="0"/>
        <w:rPr>
          <w:rFonts w:asciiTheme="minorHAnsi" w:hAnsiTheme="minorHAnsi" w:cstheme="minorHAnsi"/>
          <w:b/>
          <w:i w:val="0"/>
          <w:sz w:val="22"/>
          <w:szCs w:val="22"/>
        </w:rPr>
      </w:pPr>
      <w:r w:rsidRPr="00FE5C77">
        <w:rPr>
          <w:rFonts w:asciiTheme="minorHAnsi" w:hAnsiTheme="minorHAnsi" w:cstheme="minorHAnsi"/>
          <w:b/>
          <w:i w:val="0"/>
          <w:sz w:val="22"/>
          <w:szCs w:val="22"/>
        </w:rPr>
        <w:t>Fragilità</w:t>
      </w:r>
    </w:p>
    <w:p w:rsidR="0059060B" w:rsidRPr="00FE5C77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060B" w:rsidRPr="00FE5C77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E5C77">
        <w:rPr>
          <w:rFonts w:asciiTheme="minorHAnsi" w:hAnsiTheme="minorHAnsi" w:cstheme="minorHAnsi"/>
          <w:sz w:val="22"/>
          <w:szCs w:val="22"/>
        </w:rPr>
        <w:t xml:space="preserve">Rappresenta una sindrome molto diffusa in età geriatrica (colpisce il 25% circa delle persone di età pari o superiore a 85 anni) ed è associata ad un aumentato rischio di esiti avversi per la salute </w:t>
      </w: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E5C77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Clegg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A, Young J,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Iliffe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S,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Rikkert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MO,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Rockwood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K.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Frailty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elderly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people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>. Lancet 2013;38), (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Choi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J,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Ahn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A,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Kim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S,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Won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CW. Global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prevalence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of physical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frailty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by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Fried's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criteria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in community-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dwelling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elderly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with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national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population-based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surveys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. J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Med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Dir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Assoc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2015;16(7):548e50).</w:t>
      </w:r>
    </w:p>
    <w:p w:rsidR="0059060B" w:rsidRPr="00AF4008" w:rsidRDefault="0059060B" w:rsidP="0059060B">
      <w:pPr>
        <w:pStyle w:val="NormaleWeb"/>
        <w:tabs>
          <w:tab w:val="left" w:pos="426"/>
          <w:tab w:val="left" w:pos="720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F4008">
        <w:rPr>
          <w:rFonts w:asciiTheme="minorHAnsi" w:hAnsiTheme="minorHAnsi" w:cstheme="minorHAnsi"/>
          <w:sz w:val="22"/>
          <w:szCs w:val="22"/>
        </w:rPr>
        <w:t xml:space="preserve">Trattasi di una </w:t>
      </w:r>
      <w:r w:rsidRPr="00AF4008">
        <w:rPr>
          <w:rFonts w:asciiTheme="minorHAnsi" w:hAnsiTheme="minorHAnsi" w:cstheme="minorHAnsi"/>
          <w:iCs/>
          <w:sz w:val="22"/>
          <w:szCs w:val="22"/>
        </w:rPr>
        <w:t xml:space="preserve">sindrome clinica contrassegnata da una diminuita riserva fisiologica e da una bassa resilienza, cui consegue disabilità e/o mortalità. </w:t>
      </w:r>
      <w:r w:rsidRPr="00AF4008">
        <w:rPr>
          <w:rFonts w:asciiTheme="minorHAnsi" w:hAnsiTheme="minorHAnsi" w:cstheme="minorHAnsi"/>
          <w:sz w:val="22"/>
          <w:szCs w:val="22"/>
        </w:rPr>
        <w:t xml:space="preserve">Secondo L. Friend, la fragilità sembra essere la risultante della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disregolazione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di una massa critica di sistemi neuroendocrino-metabolici, nell’ambito dei quali il circolo vizioso della “Energy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Dysregulation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” occupa un ruolo centrale nella cascata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etiopatogenetica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(Fig. 1.)</w:t>
      </w:r>
    </w:p>
    <w:p w:rsidR="0059060B" w:rsidRPr="00AF4008" w:rsidRDefault="0059060B" w:rsidP="0059060B">
      <w:pPr>
        <w:pStyle w:val="NormaleWeb"/>
        <w:tabs>
          <w:tab w:val="left" w:pos="426"/>
          <w:tab w:val="left" w:pos="720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F4008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Fried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LP,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Tangen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CM,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Walston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J, Newman AB,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Hirsch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C,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Gottdiener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J,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Seeman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T, Tracy R,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Kop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WJ, Burke G,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McBurnie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MA;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Cardiovascular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Health Study Collaborative Research Group.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Frailty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older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adults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evidence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for a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phenotype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. J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Gerontol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Biol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Sci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Med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Sci. 2001).</w:t>
      </w: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ind w:left="72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ind w:left="72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AF4008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9D40F5D" wp14:editId="675E5114">
            <wp:extent cx="4410075" cy="3267075"/>
            <wp:effectExtent l="0" t="0" r="9525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65" r="12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ind w:left="72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060B" w:rsidRPr="00AF4008" w:rsidRDefault="0059060B" w:rsidP="00400C4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59" w:lineRule="auto"/>
        <w:rPr>
          <w:rFonts w:asciiTheme="minorHAnsi" w:hAnsiTheme="minorHAnsi" w:cstheme="minorHAnsi"/>
          <w:b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b/>
          <w:i w:val="0"/>
          <w:sz w:val="22"/>
          <w:szCs w:val="22"/>
        </w:rPr>
        <w:t xml:space="preserve">Fragilità e Malnutrizione </w:t>
      </w: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F4008">
        <w:rPr>
          <w:rFonts w:asciiTheme="minorHAnsi" w:hAnsiTheme="minorHAnsi" w:cstheme="minorHAnsi"/>
          <w:sz w:val="22"/>
          <w:szCs w:val="22"/>
        </w:rPr>
        <w:t>La “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dysregulation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” di una serie di sistemi (neuroendocrini, metabolici, immunologici, infiammatori,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etc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) compromette le capacità omeostatiche dell'organismo ed innesca quella </w:t>
      </w:r>
      <w:r w:rsidRPr="00AF4008">
        <w:rPr>
          <w:rFonts w:asciiTheme="minorHAnsi" w:hAnsiTheme="minorHAnsi" w:cstheme="minorHAnsi"/>
          <w:iCs/>
          <w:sz w:val="22"/>
          <w:szCs w:val="22"/>
        </w:rPr>
        <w:t>spirale della fragilità</w:t>
      </w:r>
      <w:r w:rsidRPr="00AF4008">
        <w:rPr>
          <w:rFonts w:asciiTheme="minorHAnsi" w:hAnsiTheme="minorHAnsi" w:cstheme="minorHAnsi"/>
          <w:sz w:val="22"/>
          <w:szCs w:val="22"/>
        </w:rPr>
        <w:t xml:space="preserve"> inizialmente caratterizzata da anoressia e da un inadeguato apporto/utilizzazione di macro-micronutrienti (quest’ultimo, frutto anche di una molteplice serie di fattori fisiopatologici, neuroendocrini, iatrogeni, socio-assistenziali,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etc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) che, rientrano, a loro volta, tra le principali concause della malnutrizione (PEM). </w:t>
      </w: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F4008">
        <w:rPr>
          <w:rFonts w:asciiTheme="minorHAnsi" w:hAnsiTheme="minorHAnsi" w:cstheme="minorHAnsi"/>
          <w:sz w:val="22"/>
          <w:szCs w:val="22"/>
        </w:rPr>
        <w:t>Nel fenotipo “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frail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”, è proprio dal grado di malnutrizione che potrebbero dipendere: a) l’entità delle alterazioni metabolico-strutturali ed immunologiche; b) la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sarcopenia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; c) la riduzione della forza e della potenza muscolare; d) l’inattività/allettamento; e) il decadimento nella qualità della vita e, in ultima analisi, l’aumentato rischio di disabilità, di istituzionalizzazione e morte, proprie </w:t>
      </w:r>
      <w:proofErr w:type="spellStart"/>
      <w:proofErr w:type="gramStart"/>
      <w:r w:rsidRPr="00AF4008">
        <w:rPr>
          <w:rFonts w:asciiTheme="minorHAnsi" w:hAnsiTheme="minorHAnsi" w:cstheme="minorHAnsi"/>
          <w:sz w:val="22"/>
          <w:szCs w:val="22"/>
        </w:rPr>
        <w:t>della“</w:t>
      </w:r>
      <w:proofErr w:type="gramEnd"/>
      <w:r w:rsidRPr="00AF4008">
        <w:rPr>
          <w:rFonts w:asciiTheme="minorHAnsi" w:hAnsiTheme="minorHAnsi" w:cstheme="minorHAnsi"/>
          <w:sz w:val="22"/>
          <w:szCs w:val="22"/>
        </w:rPr>
        <w:t>fragilità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” dell’anziano. </w:t>
      </w: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F4008">
        <w:rPr>
          <w:rFonts w:asciiTheme="minorHAnsi" w:hAnsiTheme="minorHAnsi" w:cstheme="minorHAnsi"/>
          <w:sz w:val="22"/>
          <w:szCs w:val="22"/>
        </w:rPr>
        <w:t>I dati della letteratura mostrano come il rischio di malnutrizione e condizioni manifeste di malnutrizione sembrano aumentare il rischio di fragilità (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Prevalence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and risk factors of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frailty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among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home care clients.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Miettinen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 xml:space="preserve"> M et al. BMC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Geriatr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>. 2017).</w:t>
      </w: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AF4008" w:rsidRPr="00AF4008" w:rsidRDefault="00AF4008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060B" w:rsidRPr="00AF4008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F4008">
        <w:rPr>
          <w:rFonts w:asciiTheme="minorHAnsi" w:hAnsiTheme="minorHAnsi" w:cstheme="minorHAnsi"/>
          <w:sz w:val="22"/>
          <w:szCs w:val="22"/>
        </w:rPr>
        <w:lastRenderedPageBreak/>
        <w:t xml:space="preserve">I risultati di una recente review hanno confermato che malnutrizione e fragilità </w:t>
      </w:r>
      <w:bookmarkStart w:id="0" w:name="_Hlk10421356"/>
      <w:r w:rsidRPr="00AF4008">
        <w:rPr>
          <w:rFonts w:asciiTheme="minorHAnsi" w:hAnsiTheme="minorHAnsi" w:cstheme="minorHAnsi"/>
          <w:sz w:val="22"/>
          <w:szCs w:val="22"/>
        </w:rPr>
        <w:t xml:space="preserve">(per la cui valutazione 19 dei 28 hanno seguito il fenotipo originale di </w:t>
      </w:r>
      <w:proofErr w:type="spellStart"/>
      <w:r w:rsidRPr="00AF4008">
        <w:rPr>
          <w:rFonts w:asciiTheme="minorHAnsi" w:hAnsiTheme="minorHAnsi" w:cstheme="minorHAnsi"/>
          <w:sz w:val="22"/>
          <w:szCs w:val="22"/>
        </w:rPr>
        <w:t>Fried</w:t>
      </w:r>
      <w:proofErr w:type="spellEnd"/>
      <w:r w:rsidRPr="00AF4008">
        <w:rPr>
          <w:rFonts w:asciiTheme="minorHAnsi" w:hAnsiTheme="minorHAnsi" w:cstheme="minorHAnsi"/>
          <w:sz w:val="22"/>
          <w:szCs w:val="22"/>
        </w:rPr>
        <w:t>) influenzano, in modo significativo, l’autosufficienza e la salute degli anziani</w:t>
      </w:r>
      <w:bookmarkEnd w:id="0"/>
      <w:r w:rsidRPr="00AF4008">
        <w:rPr>
          <w:rFonts w:asciiTheme="minorHAnsi" w:hAnsiTheme="minorHAnsi" w:cstheme="minorHAnsi"/>
          <w:sz w:val="22"/>
          <w:szCs w:val="22"/>
        </w:rPr>
        <w:t>; la meta-analisi (10 studi con tot. 5.447 anziani) ha mostrato come la prevalenza della malnutrizione era significativamente associata alla prevalenza della fragilità fisica (P &lt;0,0001); tuttavia, le due sindromi non erano interscambiabili.</w:t>
      </w:r>
      <w:r w:rsidRPr="00AF4008">
        <w:rPr>
          <w:rFonts w:asciiTheme="minorHAnsi" w:hAnsiTheme="minorHAnsi" w:cstheme="minorHAnsi"/>
          <w:iCs/>
          <w:sz w:val="22"/>
          <w:szCs w:val="22"/>
        </w:rPr>
        <w:t xml:space="preserve"> (High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Prevalence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of Physical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Frailty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Among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Community-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Dwelling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Malnourished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Older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Adults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-A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Systematic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Review and Meta-Analysis.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Verlaan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S et al. J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Am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Med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 xml:space="preserve"> Dir </w:t>
      </w:r>
      <w:proofErr w:type="spellStart"/>
      <w:r w:rsidRPr="00AF4008">
        <w:rPr>
          <w:rFonts w:asciiTheme="minorHAnsi" w:hAnsiTheme="minorHAnsi" w:cstheme="minorHAnsi"/>
          <w:iCs/>
          <w:sz w:val="22"/>
          <w:szCs w:val="22"/>
        </w:rPr>
        <w:t>Assoc</w:t>
      </w:r>
      <w:proofErr w:type="spellEnd"/>
      <w:r w:rsidRPr="00AF4008">
        <w:rPr>
          <w:rFonts w:asciiTheme="minorHAnsi" w:hAnsiTheme="minorHAnsi" w:cstheme="minorHAnsi"/>
          <w:iCs/>
          <w:sz w:val="22"/>
          <w:szCs w:val="22"/>
        </w:rPr>
        <w:t>., 2017)</w:t>
      </w:r>
      <w:r w:rsidRPr="00AF400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59" w:lineRule="auto"/>
        <w:jc w:val="both"/>
        <w:rPr>
          <w:rFonts w:asciiTheme="minorHAnsi" w:hAnsiTheme="minorHAnsi" w:cstheme="minorHAnsi"/>
          <w:i w:val="0"/>
          <w:color w:val="auto"/>
          <w:sz w:val="22"/>
          <w:szCs w:val="22"/>
        </w:rPr>
      </w:pP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59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  <w:proofErr w:type="spellStart"/>
      <w:r w:rsidRPr="00AF4008">
        <w:rPr>
          <w:rFonts w:asciiTheme="minorHAnsi" w:hAnsiTheme="minorHAnsi" w:cstheme="minorHAnsi"/>
          <w:b/>
          <w:i w:val="0"/>
          <w:sz w:val="22"/>
          <w:szCs w:val="22"/>
        </w:rPr>
        <w:t>Sarcopenia</w:t>
      </w:r>
      <w:proofErr w:type="spellEnd"/>
      <w:r w:rsidRPr="00AF4008">
        <w:rPr>
          <w:rFonts w:asciiTheme="minorHAnsi" w:hAnsiTheme="minorHAnsi" w:cstheme="minorHAnsi"/>
          <w:b/>
          <w:i w:val="0"/>
          <w:sz w:val="22"/>
          <w:szCs w:val="22"/>
        </w:rPr>
        <w:t xml:space="preserve">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La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sarcopenia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rappresenta una delle sindromi geriatriche più significative, con una prevalenza che negli anziani raggiunge il 50% (Ali S, Garcia JM.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Sarcopenia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cachexia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and aging: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diagnosis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mechanisms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and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therapeutic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options.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Gerontology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(2014).</w:t>
      </w:r>
      <w:r w:rsidRPr="00AF4008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</w:t>
      </w: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E’ caratterizzata da uno sproporzionato depauperamento della massa muscolare (in particolare, delle fibre muscolari di tipo </w:t>
      </w:r>
      <w:proofErr w:type="gramStart"/>
      <w:r w:rsidRPr="00AF4008">
        <w:rPr>
          <w:rFonts w:asciiTheme="minorHAnsi" w:hAnsiTheme="minorHAnsi" w:cstheme="minorHAnsi"/>
          <w:i w:val="0"/>
          <w:sz w:val="22"/>
          <w:szCs w:val="22"/>
        </w:rPr>
        <w:t>II  fast</w:t>
      </w:r>
      <w:proofErr w:type="gramEnd"/>
      <w:r w:rsidRPr="00AF4008">
        <w:rPr>
          <w:rFonts w:asciiTheme="minorHAnsi" w:hAnsiTheme="minorHAnsi" w:cstheme="minorHAnsi"/>
          <w:i w:val="0"/>
          <w:sz w:val="22"/>
          <w:szCs w:val="22"/>
        </w:rPr>
        <w:t>-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twitch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>), con progressiva perdita della forza e potenza muscolare che si accompagna ad un calo dell'attività fisica, a menomazione fisica, disabilità e dipendenza dagli altri</w:t>
      </w:r>
      <w:r w:rsidRPr="00AF4008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(</w:t>
      </w:r>
      <w:bookmarkStart w:id="1" w:name="_Hlk12780545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ESPEN Guideline on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clinical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nutrition and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hydration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in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geriatrics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.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Dorothee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Volkert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,</w:t>
      </w:r>
      <w:bookmarkEnd w:id="1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Anne Marie Beck, Tommy </w:t>
      </w:r>
      <w:proofErr w:type="spellStart"/>
      <w:proofErr w:type="gram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Cederholm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 Alfonso</w:t>
      </w:r>
      <w:proofErr w:type="gram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Cruz-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Jentoft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Sabine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Goisser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Lee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Hooper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Eva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Kiesswetter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Marcello Maggio,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Agathe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Raynaud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-Simon,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Cornel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C.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Sieber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Lubos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Sobotka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Dieneke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van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Asselt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Rainer Wirth,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Stephan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C.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Bischoff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.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Clinical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Nutrition, 2018)</w:t>
      </w: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.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b/>
          <w:i w:val="0"/>
          <w:iCs/>
          <w:sz w:val="22"/>
          <w:szCs w:val="22"/>
        </w:rPr>
      </w:pPr>
      <w:r w:rsidRPr="00AF4008">
        <w:rPr>
          <w:rFonts w:asciiTheme="minorHAnsi" w:hAnsiTheme="minorHAnsi" w:cstheme="minorHAnsi"/>
          <w:b/>
          <w:i w:val="0"/>
          <w:iCs/>
          <w:sz w:val="22"/>
          <w:szCs w:val="22"/>
        </w:rPr>
        <w:t>Criticità emerse</w:t>
      </w:r>
    </w:p>
    <w:p w:rsidR="00400C4B" w:rsidRPr="00AF4008" w:rsidRDefault="00400C4B" w:rsidP="00400C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Nonostante la grande sovrapposizione con la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sarcopenia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la fragilità è una sindrome a sé stante, indipendente, clinicamente riconoscibile (ESPEN Guideline on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clinical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nutrition and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hydration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in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geriatrics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2018.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Dorothee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Volkert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et Al.).</w:t>
      </w:r>
    </w:p>
    <w:p w:rsidR="00400C4B" w:rsidRPr="00AF4008" w:rsidRDefault="00400C4B" w:rsidP="00400C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proofErr w:type="gramStart"/>
      <w:r w:rsidRPr="00AF4008">
        <w:rPr>
          <w:rFonts w:asciiTheme="minorHAnsi" w:hAnsiTheme="minorHAnsi" w:cstheme="minorHAnsi"/>
          <w:i w:val="0"/>
          <w:sz w:val="22"/>
          <w:szCs w:val="22"/>
        </w:rPr>
        <w:t>E’</w:t>
      </w:r>
      <w:proofErr w:type="gram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molto diffusa in età geriatrica e comporta un alto rischio di disabilità e morte. </w:t>
      </w:r>
    </w:p>
    <w:p w:rsidR="00400C4B" w:rsidRPr="00AF4008" w:rsidRDefault="00400C4B" w:rsidP="00400C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>La fisiopatologia della fragilità e della malnutrizione condividono percorsi comuni; la prevalenza della malnutrizione è significativamente associata alla prevalenza della fragilità (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Verlaan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S et Al. 2017).</w:t>
      </w:r>
    </w:p>
    <w:p w:rsidR="00400C4B" w:rsidRPr="00AF4008" w:rsidRDefault="00400C4B" w:rsidP="00400C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La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sarcopenia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aumenta il rischio di una scarsa qualità di vita e di morte </w:t>
      </w:r>
    </w:p>
    <w:p w:rsidR="00400C4B" w:rsidRPr="00AF4008" w:rsidRDefault="00400C4B" w:rsidP="00400C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>(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Overfat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and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Underfat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: new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terms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and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definitions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Long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overdue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. Philip B.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Maffetone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>, Ivan Rivera-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Dominguez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and Paul B. Laursen.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Frontiers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in Public Health,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January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2017.Vol. 4, Article 279).</w:t>
      </w:r>
    </w:p>
    <w:p w:rsidR="00400C4B" w:rsidRPr="00AF4008" w:rsidRDefault="00400C4B" w:rsidP="00400C4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>Il rischio di malnutrizione o una condizione manifesta di PEM aumentano il rischio di fragilità; l’identificazione precoce della fragilità è assolutamente necessaria per prevenire un ulteriore declino dello stato di salute, specie negli anziani in assistenza domiciliare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ind w:left="720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>(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Miettinen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M et al. BMC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Geriatr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>. 2017).</w:t>
      </w:r>
    </w:p>
    <w:p w:rsidR="00400C4B" w:rsidRPr="00AF4008" w:rsidRDefault="00400C4B" w:rsidP="00400C4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  <w:proofErr w:type="spellStart"/>
      <w:r w:rsidRPr="00AF4008">
        <w:rPr>
          <w:rFonts w:asciiTheme="minorHAnsi" w:hAnsiTheme="minorHAnsi" w:cstheme="minorHAnsi"/>
          <w:b/>
          <w:i w:val="0"/>
          <w:sz w:val="22"/>
          <w:szCs w:val="22"/>
        </w:rPr>
        <w:t>Overfat</w:t>
      </w:r>
      <w:proofErr w:type="spellEnd"/>
      <w:r w:rsidRPr="00AF4008">
        <w:rPr>
          <w:rFonts w:asciiTheme="minorHAnsi" w:hAnsiTheme="minorHAnsi" w:cstheme="minorHAnsi"/>
          <w:b/>
          <w:i w:val="0"/>
          <w:sz w:val="22"/>
          <w:szCs w:val="22"/>
        </w:rPr>
        <w:t xml:space="preserve"> and </w:t>
      </w:r>
      <w:proofErr w:type="spellStart"/>
      <w:r w:rsidRPr="00AF4008">
        <w:rPr>
          <w:rFonts w:asciiTheme="minorHAnsi" w:hAnsiTheme="minorHAnsi" w:cstheme="minorHAnsi"/>
          <w:b/>
          <w:i w:val="0"/>
          <w:sz w:val="22"/>
          <w:szCs w:val="22"/>
        </w:rPr>
        <w:t>Underfat</w:t>
      </w:r>
      <w:proofErr w:type="spellEnd"/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Gli individui con BMI nella norma ma con una elevata percentuale di massa grassa mostrano un alto grado di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disregolazione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metabolica. Questo fenomeno, definito come “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normal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weight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obesity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”, è associato a un rischio di sindrome metabolica, di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CVDs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e di mortalità significativamente più elevato 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(The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concept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of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normal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weight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obesity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Oliveros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E1,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Somers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VK1,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Sochor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O2,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Goel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K1, Lopez-Jimenez F3. </w:t>
      </w:r>
      <w:proofErr w:type="spellStart"/>
      <w:proofErr w:type="gramStart"/>
      <w:r w:rsidRPr="00AF4008">
        <w:rPr>
          <w:rFonts w:asciiTheme="minorHAnsi" w:hAnsiTheme="minorHAnsi" w:cstheme="minorHAnsi"/>
          <w:i w:val="0"/>
          <w:sz w:val="22"/>
          <w:szCs w:val="22"/>
        </w:rPr>
        <w:t>Prog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Cardiovasc</w:t>
      </w:r>
      <w:proofErr w:type="spellEnd"/>
      <w:proofErr w:type="gram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Dis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>. 2014).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Tra i soggetti normopeso, metabolicamente obesi, sono da includere: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a) soggetti che, con l'invecchiamento, hanno depositato grasso in eccesso in organi quali fegato, cuore e muscoli (Unger RH.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Longevity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lipotoxicity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and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leptin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: the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adipocyte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defense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against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feasting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and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famine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.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Biochimie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, 2005);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b) individui con obesità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sarcopenica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(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Stenholm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S et al. 2008).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 w:line="259" w:lineRule="auto"/>
        <w:rPr>
          <w:rFonts w:asciiTheme="minorHAnsi" w:hAnsiTheme="minorHAnsi" w:cstheme="minorHAnsi"/>
          <w:i w:val="0"/>
          <w:sz w:val="22"/>
          <w:szCs w:val="22"/>
        </w:rPr>
      </w:pP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lastRenderedPageBreak/>
        <w:t xml:space="preserve">La combinazione di una elevata quantità di tessuto adiposo (con imbibizione adiposa del tessuto muscolare) e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sarcopenia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è stata definita come obesità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sarcopenica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ed è associata, tra l’altro, a infiammazione cronica di basso grado e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insulinoresistenza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>(</w:t>
      </w:r>
      <w:bookmarkStart w:id="2" w:name="_Hlk10468248"/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Stenholm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S, Harris T, Ferrucci L.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Sarcopenic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obesity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: definition,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etiology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, and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consequences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.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Curr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Opin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Clin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Nutr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</w:t>
      </w:r>
      <w:proofErr w:type="spellStart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>Metab</w:t>
      </w:r>
      <w:proofErr w:type="spellEnd"/>
      <w:r w:rsidRPr="00AF4008">
        <w:rPr>
          <w:rFonts w:asciiTheme="minorHAnsi" w:hAnsiTheme="minorHAnsi" w:cstheme="minorHAnsi"/>
          <w:i w:val="0"/>
          <w:kern w:val="36"/>
          <w:sz w:val="22"/>
          <w:szCs w:val="22"/>
        </w:rPr>
        <w:t xml:space="preserve"> Care, 2008)</w:t>
      </w:r>
      <w:bookmarkEnd w:id="2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.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sz w:val="22"/>
          <w:szCs w:val="22"/>
        </w:rPr>
        <w:t>In molti soggetti che diventano “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underfat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” a causa di una malattia cronica, la loro condizione di 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underfat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 potrebbe essere espressione di un precedente metabolismo “</w:t>
      </w:r>
      <w:proofErr w:type="spellStart"/>
      <w:r w:rsidRPr="00AF4008">
        <w:rPr>
          <w:rFonts w:asciiTheme="minorHAnsi" w:hAnsiTheme="minorHAnsi" w:cstheme="minorHAnsi"/>
          <w:i w:val="0"/>
          <w:sz w:val="22"/>
          <w:szCs w:val="22"/>
        </w:rPr>
        <w:t>overfat</w:t>
      </w:r>
      <w:proofErr w:type="spellEnd"/>
      <w:r w:rsidRPr="00AF4008">
        <w:rPr>
          <w:rFonts w:asciiTheme="minorHAnsi" w:hAnsiTheme="minorHAnsi" w:cstheme="minorHAnsi"/>
          <w:i w:val="0"/>
          <w:sz w:val="22"/>
          <w:szCs w:val="22"/>
        </w:rPr>
        <w:t xml:space="preserve">” associato con infiammazione cronica e malattia (Figura 2). </w:t>
      </w:r>
    </w:p>
    <w:p w:rsidR="00400C4B" w:rsidRPr="00AF4008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</w:p>
    <w:p w:rsidR="00400C4B" w:rsidRPr="00FE5C77" w:rsidRDefault="00400C4B" w:rsidP="00400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AF4008">
        <w:rPr>
          <w:rFonts w:asciiTheme="minorHAnsi" w:hAnsiTheme="minorHAnsi" w:cstheme="minorHAnsi"/>
          <w:i w:val="0"/>
          <w:noProof/>
          <w:sz w:val="22"/>
          <w:szCs w:val="22"/>
        </w:rPr>
        <w:drawing>
          <wp:inline distT="0" distB="0" distL="0" distR="0" wp14:anchorId="72A0BB61" wp14:editId="1B41778B">
            <wp:extent cx="6019800" cy="1819275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21" t="27876" r="36017" b="45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C4B" w:rsidRPr="00FE5C77" w:rsidRDefault="00400C4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</w:p>
    <w:p w:rsidR="0059060B" w:rsidRPr="00FE5C77" w:rsidRDefault="0059060B" w:rsidP="0059060B">
      <w:pPr>
        <w:pStyle w:val="NormaleWeb"/>
        <w:tabs>
          <w:tab w:val="left" w:pos="426"/>
        </w:tabs>
        <w:kinsoku w:val="0"/>
        <w:overflowPunct w:val="0"/>
        <w:spacing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F634A8" w:rsidRDefault="00F634A8">
      <w:bookmarkStart w:id="3" w:name="_GoBack"/>
      <w:bookmarkEnd w:id="3"/>
    </w:p>
    <w:sectPr w:rsidR="00F634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514FC"/>
    <w:multiLevelType w:val="hybridMultilevel"/>
    <w:tmpl w:val="35DCBFF4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043E95"/>
    <w:multiLevelType w:val="hybridMultilevel"/>
    <w:tmpl w:val="68EA4D5A"/>
    <w:lvl w:ilvl="0" w:tplc="C5B8D4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72C00"/>
    <w:multiLevelType w:val="hybridMultilevel"/>
    <w:tmpl w:val="020845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776D9"/>
    <w:multiLevelType w:val="hybridMultilevel"/>
    <w:tmpl w:val="6DCE06B6"/>
    <w:lvl w:ilvl="0" w:tplc="04100009">
      <w:start w:val="1"/>
      <w:numFmt w:val="bullet"/>
      <w:lvlText w:val=""/>
      <w:lvlJc w:val="left"/>
      <w:pPr>
        <w:ind w:left="98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2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4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56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60B"/>
    <w:rsid w:val="00400C4B"/>
    <w:rsid w:val="0059060B"/>
    <w:rsid w:val="00722782"/>
    <w:rsid w:val="00AF4008"/>
    <w:rsid w:val="00F6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D3769"/>
  <w15:chartTrackingRefBased/>
  <w15:docId w15:val="{735F22C2-EFF8-4A82-BA3E-3CAE2850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9060B"/>
    <w:pPr>
      <w:spacing w:line="360" w:lineRule="auto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060B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9060B"/>
    <w:pPr>
      <w:spacing w:after="100" w:afterAutospacing="1" w:line="240" w:lineRule="auto"/>
    </w:pPr>
    <w:rPr>
      <w:i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Donini Lorenzo</dc:creator>
  <cp:keywords/>
  <dc:description/>
  <cp:lastModifiedBy>Tomassini Sara</cp:lastModifiedBy>
  <cp:revision>3</cp:revision>
  <dcterms:created xsi:type="dcterms:W3CDTF">2019-11-04T09:02:00Z</dcterms:created>
  <dcterms:modified xsi:type="dcterms:W3CDTF">2021-09-06T13:34:00Z</dcterms:modified>
</cp:coreProperties>
</file>