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9AA3" w14:textId="77777777" w:rsidR="00603DA8" w:rsidRDefault="00603DA8" w:rsidP="00603DA8">
      <w:pPr>
        <w:pStyle w:val="Intestazione"/>
        <w:jc w:val="center"/>
        <w:rPr>
          <w:sz w:val="18"/>
          <w:szCs w:val="18"/>
        </w:rPr>
      </w:pPr>
      <w:r>
        <w:rPr>
          <w:noProof/>
          <w:sz w:val="18"/>
          <w:szCs w:val="18"/>
          <w:lang w:val="en-US" w:eastAsia="en-US"/>
        </w:rPr>
        <w:drawing>
          <wp:inline distT="0" distB="0" distL="0" distR="0" wp14:anchorId="7D194ECF" wp14:editId="4EF1551B">
            <wp:extent cx="4196422" cy="652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6422" cy="652900"/>
                    </a:xfrm>
                    <a:prstGeom prst="rect">
                      <a:avLst/>
                    </a:prstGeom>
                  </pic:spPr>
                </pic:pic>
              </a:graphicData>
            </a:graphic>
          </wp:inline>
        </w:drawing>
      </w:r>
    </w:p>
    <w:p w14:paraId="4D5422A6" w14:textId="77777777" w:rsidR="00603DA8" w:rsidRDefault="00603DA8" w:rsidP="00603DA8">
      <w:pPr>
        <w:pStyle w:val="NormaleWeb"/>
        <w:shd w:val="clear" w:color="auto" w:fill="FFFFFF"/>
        <w:spacing w:after="188"/>
        <w:jc w:val="both"/>
        <w:rPr>
          <w:rFonts w:ascii="Titillium Web" w:hAnsi="Titillium Web"/>
          <w:b/>
          <w:bCs/>
          <w:color w:val="1C2024"/>
          <w:sz w:val="27"/>
          <w:szCs w:val="27"/>
        </w:rPr>
      </w:pPr>
    </w:p>
    <w:p w14:paraId="2FC2266D" w14:textId="77777777" w:rsidR="00603DA8" w:rsidRDefault="00603DA8" w:rsidP="00603DA8">
      <w:pPr>
        <w:pStyle w:val="NormaleWeb"/>
        <w:shd w:val="clear" w:color="auto" w:fill="FFFFFF"/>
        <w:spacing w:after="188"/>
        <w:jc w:val="center"/>
        <w:rPr>
          <w:rFonts w:ascii="Titillium Web" w:hAnsi="Titillium Web"/>
          <w:b/>
          <w:bCs/>
          <w:color w:val="1C2024"/>
          <w:sz w:val="27"/>
          <w:szCs w:val="27"/>
        </w:rPr>
      </w:pPr>
      <w:r w:rsidRPr="00603DA8">
        <w:rPr>
          <w:rFonts w:ascii="Titillium Web" w:hAnsi="Titillium Web"/>
          <w:b/>
          <w:bCs/>
          <w:color w:val="1C2024"/>
          <w:sz w:val="27"/>
          <w:szCs w:val="27"/>
        </w:rPr>
        <w:t xml:space="preserve">Misura compensativa per il riconoscimento della qualifica di </w:t>
      </w:r>
    </w:p>
    <w:p w14:paraId="4649018F" w14:textId="69582162" w:rsidR="00603DA8" w:rsidRPr="00603DA8" w:rsidRDefault="00D57531" w:rsidP="00603DA8">
      <w:pPr>
        <w:pStyle w:val="NormaleWeb"/>
        <w:shd w:val="clear" w:color="auto" w:fill="FFFFFF"/>
        <w:spacing w:after="188"/>
        <w:jc w:val="center"/>
        <w:rPr>
          <w:rFonts w:ascii="Titillium Web" w:hAnsi="Titillium Web"/>
          <w:b/>
          <w:bCs/>
          <w:color w:val="1C2024"/>
          <w:sz w:val="27"/>
          <w:szCs w:val="27"/>
        </w:rPr>
      </w:pPr>
      <w:r>
        <w:rPr>
          <w:rFonts w:ascii="Titillium Web" w:hAnsi="Titillium Web"/>
          <w:b/>
          <w:bCs/>
          <w:color w:val="1C2024"/>
          <w:sz w:val="27"/>
          <w:szCs w:val="27"/>
        </w:rPr>
        <w:t xml:space="preserve">INFERMIERI, INFERMIERI </w:t>
      </w:r>
      <w:r w:rsidR="003B7665">
        <w:rPr>
          <w:rFonts w:ascii="Titillium Web" w:hAnsi="Titillium Web"/>
          <w:b/>
          <w:bCs/>
          <w:color w:val="1C2024"/>
          <w:sz w:val="27"/>
          <w:szCs w:val="27"/>
        </w:rPr>
        <w:t>PEDIATRICI</w:t>
      </w:r>
      <w:r w:rsidR="00D672D5">
        <w:rPr>
          <w:rFonts w:ascii="Titillium Web" w:hAnsi="Titillium Web"/>
          <w:b/>
          <w:bCs/>
          <w:color w:val="1C2024"/>
          <w:sz w:val="27"/>
          <w:szCs w:val="27"/>
        </w:rPr>
        <w:t xml:space="preserve"> </w:t>
      </w:r>
      <w:r w:rsidR="00603DA8" w:rsidRPr="00603DA8">
        <w:rPr>
          <w:rFonts w:ascii="Titillium Web" w:hAnsi="Titillium Web"/>
          <w:b/>
          <w:bCs/>
          <w:color w:val="1C2024"/>
          <w:sz w:val="27"/>
          <w:szCs w:val="27"/>
        </w:rPr>
        <w:t>conseguit</w:t>
      </w:r>
      <w:r w:rsidR="003B7665">
        <w:rPr>
          <w:rFonts w:ascii="Titillium Web" w:hAnsi="Titillium Web"/>
          <w:b/>
          <w:bCs/>
          <w:color w:val="1C2024"/>
          <w:sz w:val="27"/>
          <w:szCs w:val="27"/>
        </w:rPr>
        <w:t>i</w:t>
      </w:r>
      <w:r w:rsidR="00603DA8" w:rsidRPr="00603DA8">
        <w:rPr>
          <w:rFonts w:ascii="Titillium Web" w:hAnsi="Titillium Web"/>
          <w:b/>
          <w:bCs/>
          <w:color w:val="1C2024"/>
          <w:sz w:val="27"/>
          <w:szCs w:val="27"/>
        </w:rPr>
        <w:t xml:space="preserve"> all'estero </w:t>
      </w:r>
      <w:r w:rsidR="00603DA8">
        <w:rPr>
          <w:rFonts w:ascii="Titillium Web" w:hAnsi="Titillium Web"/>
          <w:b/>
          <w:bCs/>
          <w:color w:val="1C2024"/>
          <w:sz w:val="27"/>
          <w:szCs w:val="27"/>
        </w:rPr>
        <w:br/>
      </w:r>
      <w:r w:rsidR="00603DA8">
        <w:rPr>
          <w:rFonts w:ascii="Titillium Web" w:hAnsi="Titillium Web"/>
          <w:bCs/>
          <w:color w:val="1C2024"/>
          <w:sz w:val="27"/>
          <w:szCs w:val="27"/>
        </w:rPr>
        <w:br/>
      </w:r>
      <w:r w:rsidR="00603DA8" w:rsidRPr="00603DA8">
        <w:rPr>
          <w:rFonts w:ascii="Titillium Web" w:hAnsi="Titillium Web"/>
          <w:b/>
          <w:bCs/>
          <w:color w:val="1C2024"/>
          <w:sz w:val="27"/>
          <w:szCs w:val="27"/>
        </w:rPr>
        <w:t xml:space="preserve">Sessione di </w:t>
      </w:r>
      <w:r w:rsidR="00F24EE1">
        <w:rPr>
          <w:rFonts w:ascii="Titillium Web" w:hAnsi="Titillium Web"/>
          <w:b/>
          <w:bCs/>
          <w:color w:val="1C2024"/>
          <w:sz w:val="27"/>
          <w:szCs w:val="27"/>
        </w:rPr>
        <w:t xml:space="preserve">maggio </w:t>
      </w:r>
      <w:r w:rsidR="007643E6">
        <w:rPr>
          <w:rFonts w:ascii="Titillium Web" w:hAnsi="Titillium Web"/>
          <w:b/>
          <w:bCs/>
          <w:color w:val="1C2024"/>
          <w:sz w:val="27"/>
          <w:szCs w:val="27"/>
        </w:rPr>
        <w:t>2</w:t>
      </w:r>
      <w:bookmarkStart w:id="0" w:name="_GoBack"/>
      <w:bookmarkEnd w:id="0"/>
      <w:r w:rsidR="00603DA8" w:rsidRPr="00603DA8">
        <w:rPr>
          <w:rFonts w:ascii="Titillium Web" w:hAnsi="Titillium Web"/>
          <w:b/>
          <w:bCs/>
          <w:color w:val="1C2024"/>
          <w:sz w:val="27"/>
          <w:szCs w:val="27"/>
        </w:rPr>
        <w:t>02</w:t>
      </w:r>
      <w:r w:rsidR="00F24EE1">
        <w:rPr>
          <w:rFonts w:ascii="Titillium Web" w:hAnsi="Titillium Web"/>
          <w:b/>
          <w:bCs/>
          <w:color w:val="1C2024"/>
          <w:sz w:val="27"/>
          <w:szCs w:val="27"/>
        </w:rPr>
        <w:t>3</w:t>
      </w:r>
    </w:p>
    <w:p w14:paraId="2FF02C7B" w14:textId="77777777" w:rsidR="003B7665" w:rsidRDefault="003B7665" w:rsidP="003B7665">
      <w:pPr>
        <w:pStyle w:val="NormaleWeb"/>
        <w:shd w:val="clear" w:color="auto" w:fill="FFFFFF"/>
        <w:spacing w:before="0" w:beforeAutospacing="0" w:after="188" w:afterAutospacing="0"/>
        <w:jc w:val="both"/>
        <w:rPr>
          <w:rFonts w:ascii="Titillium Web" w:hAnsi="Titillium Web"/>
          <w:color w:val="1C2024"/>
          <w:sz w:val="27"/>
          <w:szCs w:val="27"/>
        </w:rPr>
      </w:pPr>
      <w:r>
        <w:rPr>
          <w:rFonts w:ascii="Titillium Web" w:hAnsi="Titillium Web"/>
          <w:color w:val="1C2024"/>
          <w:sz w:val="27"/>
          <w:szCs w:val="27"/>
        </w:rPr>
        <w:t>La prova scritta consiste nella risoluzione di </w:t>
      </w:r>
      <w:r>
        <w:rPr>
          <w:rStyle w:val="Enfasigrassetto"/>
          <w:rFonts w:ascii="Titillium Web" w:hAnsi="Titillium Web"/>
          <w:color w:val="1C2024"/>
          <w:sz w:val="27"/>
          <w:szCs w:val="27"/>
        </w:rPr>
        <w:t>trenta quesiti a risposta multipla</w:t>
      </w:r>
      <w:r>
        <w:rPr>
          <w:rFonts w:ascii="Titillium Web" w:hAnsi="Titillium Web"/>
          <w:color w:val="1C2024"/>
          <w:sz w:val="27"/>
          <w:szCs w:val="27"/>
        </w:rPr>
        <w:t xml:space="preserve">, di cui una sola esatta. La prova si intende superata se il candidato avrà risposto correttamente ad </w:t>
      </w:r>
      <w:r>
        <w:rPr>
          <w:rStyle w:val="Enfasigrassetto"/>
          <w:rFonts w:ascii="Titillium Web" w:hAnsi="Titillium Web"/>
          <w:color w:val="1C2024"/>
          <w:sz w:val="27"/>
          <w:szCs w:val="27"/>
        </w:rPr>
        <w:t>almeno 18 domande su 30</w:t>
      </w:r>
      <w:r>
        <w:rPr>
          <w:rFonts w:ascii="Titillium Web" w:hAnsi="Titillium Web"/>
          <w:color w:val="1C2024"/>
          <w:sz w:val="27"/>
          <w:szCs w:val="27"/>
        </w:rPr>
        <w:t>.</w:t>
      </w:r>
    </w:p>
    <w:p w14:paraId="2BE73517" w14:textId="77777777" w:rsidR="003B7665" w:rsidRDefault="003B7665" w:rsidP="003B7665">
      <w:pPr>
        <w:pStyle w:val="NormaleWeb"/>
        <w:shd w:val="clear" w:color="auto" w:fill="FFFFFF"/>
        <w:spacing w:before="0" w:beforeAutospacing="0" w:after="188" w:afterAutospacing="0"/>
        <w:jc w:val="both"/>
        <w:rPr>
          <w:rFonts w:ascii="Titillium Web" w:hAnsi="Titillium Web"/>
          <w:color w:val="1C2024"/>
          <w:sz w:val="27"/>
          <w:szCs w:val="27"/>
        </w:rPr>
      </w:pPr>
      <w:r>
        <w:rPr>
          <w:rFonts w:ascii="Titillium Web" w:hAnsi="Titillium Web"/>
          <w:color w:val="1C2024"/>
          <w:sz w:val="27"/>
          <w:szCs w:val="27"/>
        </w:rPr>
        <w:t>I risultati e l’orario di svolgimento della prova pratica/orale saranno comunicati ai candidati successivamente alla correzione della prova scritta, che avverrà al termine della stessa.</w:t>
      </w:r>
    </w:p>
    <w:p w14:paraId="5FEC74FE" w14:textId="77777777" w:rsidR="003B7665" w:rsidRDefault="003B7665" w:rsidP="003B7665">
      <w:pPr>
        <w:pStyle w:val="NormaleWeb"/>
        <w:shd w:val="clear" w:color="auto" w:fill="FFFFFF"/>
        <w:spacing w:before="0" w:beforeAutospacing="0" w:after="188" w:afterAutospacing="0"/>
        <w:jc w:val="both"/>
        <w:rPr>
          <w:rFonts w:ascii="Titillium Web" w:hAnsi="Titillium Web"/>
          <w:color w:val="1C2024"/>
          <w:sz w:val="27"/>
          <w:szCs w:val="27"/>
        </w:rPr>
      </w:pPr>
      <w:r>
        <w:rPr>
          <w:rFonts w:ascii="Titillium Web" w:hAnsi="Titillium Web"/>
          <w:color w:val="1C2024"/>
          <w:sz w:val="27"/>
          <w:szCs w:val="27"/>
        </w:rPr>
        <w:t>L’esito finale della misura compensativa sarà espresso in termini di “idoneo” in caso di superamento della misura compensativa, oppure in termini di “non idoneo” nel caso in cui detta misura non venga superata. La misura compensativa si intende superata laddove si superi sia la prova scritta, sia la prova pratica /orale.</w:t>
      </w:r>
    </w:p>
    <w:p w14:paraId="0D51129D" w14:textId="77777777" w:rsidR="003B7665" w:rsidRDefault="003B7665" w:rsidP="003B7665">
      <w:pPr>
        <w:jc w:val="both"/>
        <w:rPr>
          <w:rFonts w:ascii="Titillium Web" w:hAnsi="Titillium Web"/>
          <w:color w:val="1C2024"/>
          <w:sz w:val="27"/>
          <w:szCs w:val="27"/>
          <w:shd w:val="clear" w:color="auto" w:fill="FFFFFF"/>
        </w:rPr>
      </w:pPr>
      <w:r>
        <w:rPr>
          <w:rFonts w:ascii="Titillium Web" w:hAnsi="Titillium Web"/>
          <w:color w:val="1C2024"/>
          <w:sz w:val="27"/>
          <w:szCs w:val="27"/>
          <w:shd w:val="clear" w:color="auto" w:fill="FFFFFF"/>
        </w:rPr>
        <w:t>In caso di esito sfavorevole, la prova attitudinale (prova scritta e prova pratica /orale), che potrà essere sostenuta decorsi almeno sei mesi dalla precedente, dovrà essere ripetuta integralmente.</w:t>
      </w:r>
    </w:p>
    <w:p w14:paraId="7A43B872" w14:textId="77777777" w:rsidR="003B7665" w:rsidRDefault="003B7665" w:rsidP="003B7665"/>
    <w:p w14:paraId="79CD9C3E" w14:textId="77777777" w:rsidR="00603DA8" w:rsidRDefault="00603DA8" w:rsidP="00AF17B4">
      <w:pPr>
        <w:pStyle w:val="NormaleWeb"/>
        <w:shd w:val="clear" w:color="auto" w:fill="FFFFFF"/>
        <w:spacing w:before="0" w:beforeAutospacing="0" w:after="188" w:afterAutospacing="0"/>
        <w:jc w:val="both"/>
        <w:rPr>
          <w:rFonts w:ascii="Titillium Web" w:hAnsi="Titillium Web"/>
          <w:color w:val="1C2024"/>
          <w:sz w:val="27"/>
          <w:szCs w:val="27"/>
        </w:rPr>
      </w:pPr>
    </w:p>
    <w:p w14:paraId="338410AE" w14:textId="77777777" w:rsidR="00AF17B4" w:rsidRDefault="00AF17B4"/>
    <w:sectPr w:rsidR="00AF17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2B"/>
    <w:rsid w:val="002B0274"/>
    <w:rsid w:val="003B7665"/>
    <w:rsid w:val="0043281A"/>
    <w:rsid w:val="00577880"/>
    <w:rsid w:val="00603DA8"/>
    <w:rsid w:val="007643E6"/>
    <w:rsid w:val="00882DA0"/>
    <w:rsid w:val="00991259"/>
    <w:rsid w:val="009C134E"/>
    <w:rsid w:val="009D542B"/>
    <w:rsid w:val="00A02213"/>
    <w:rsid w:val="00AF17B4"/>
    <w:rsid w:val="00D57531"/>
    <w:rsid w:val="00D672D5"/>
    <w:rsid w:val="00EE0185"/>
    <w:rsid w:val="00F24EE1"/>
    <w:rsid w:val="00F606E4"/>
    <w:rsid w:val="00FB5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DB3C"/>
  <w15:chartTrackingRefBased/>
  <w15:docId w15:val="{8F8628AC-A9CF-4E0C-A3B8-D8CE0419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qFormat/>
    <w:rsid w:val="00603DA8"/>
    <w:pPr>
      <w:keepNext/>
      <w:spacing w:after="0" w:line="240" w:lineRule="auto"/>
      <w:ind w:right="71"/>
      <w:jc w:val="center"/>
      <w:outlineLvl w:val="2"/>
    </w:pPr>
    <w:rPr>
      <w:rFonts w:ascii="Times New Roman" w:eastAsia="Times New Roman" w:hAnsi="Times New Roman" w:cs="Times New Roman"/>
      <w:b/>
      <w:smallCaps/>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D54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D542B"/>
    <w:rPr>
      <w:b/>
      <w:bCs/>
    </w:rPr>
  </w:style>
  <w:style w:type="paragraph" w:styleId="Intestazione">
    <w:name w:val="header"/>
    <w:basedOn w:val="Normale"/>
    <w:link w:val="IntestazioneCarattere"/>
    <w:uiPriority w:val="99"/>
    <w:unhideWhenUsed/>
    <w:rsid w:val="00603DA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603DA8"/>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rsid w:val="00603DA8"/>
    <w:rPr>
      <w:rFonts w:ascii="Times New Roman" w:eastAsia="Times New Roman" w:hAnsi="Times New Roman" w:cs="Times New Roman"/>
      <w:b/>
      <w:smallCaps/>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2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Ministero della Salute</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Antonucci Fabiola</dc:creator>
  <cp:keywords/>
  <dc:description/>
  <cp:lastModifiedBy>Antonucci Fabiola</cp:lastModifiedBy>
  <cp:revision>3</cp:revision>
  <cp:lastPrinted>2022-03-09T09:20:00Z</cp:lastPrinted>
  <dcterms:created xsi:type="dcterms:W3CDTF">2023-02-07T13:48:00Z</dcterms:created>
  <dcterms:modified xsi:type="dcterms:W3CDTF">2023-02-07T13:56:00Z</dcterms:modified>
</cp:coreProperties>
</file>